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782"/>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0"/>
      </w:tblGrid>
      <w:tr w:rsidR="00FD571A" w:rsidRPr="00FF3C4E" w14:paraId="3DC7F71D" w14:textId="77777777" w:rsidTr="002D3090">
        <w:trPr>
          <w:trHeight w:val="1102"/>
        </w:trPr>
        <w:tc>
          <w:tcPr>
            <w:tcW w:w="11520" w:type="dxa"/>
            <w:tcBorders>
              <w:top w:val="nil"/>
              <w:left w:val="nil"/>
              <w:bottom w:val="nil"/>
              <w:right w:val="nil"/>
            </w:tcBorders>
          </w:tcPr>
          <w:p w14:paraId="1F68137A" w14:textId="77777777" w:rsidR="00A65963" w:rsidRPr="00FF3C4E" w:rsidRDefault="00A65963" w:rsidP="002D3090">
            <w:pPr>
              <w:spacing w:line="360" w:lineRule="auto"/>
              <w:jc w:val="both"/>
              <w:rPr>
                <w:i/>
                <w:color w:val="000000" w:themeColor="text1"/>
              </w:rPr>
            </w:pPr>
            <w:r w:rsidRPr="00FF3C4E">
              <w:rPr>
                <w:i/>
                <w:color w:val="000000" w:themeColor="text1"/>
              </w:rPr>
              <w:t>Lidhja nr. 1</w:t>
            </w:r>
          </w:p>
          <w:p w14:paraId="76BFF932" w14:textId="77777777" w:rsidR="00A65963" w:rsidRPr="00FF3C4E" w:rsidRDefault="00A65963" w:rsidP="002D3090">
            <w:pPr>
              <w:jc w:val="center"/>
              <w:textAlignment w:val="baseline"/>
              <w:rPr>
                <w:b/>
                <w:bCs/>
                <w:caps/>
                <w:color w:val="000000" w:themeColor="text1"/>
              </w:rPr>
            </w:pPr>
            <w:r w:rsidRPr="00FF3C4E">
              <w:rPr>
                <w:b/>
                <w:bCs/>
                <w:caps/>
                <w:color w:val="000000" w:themeColor="text1"/>
              </w:rPr>
              <w:t xml:space="preserve">REGJISTRI I KËRKESAVE DHE PËRGJIGJEVE </w:t>
            </w:r>
          </w:p>
        </w:tc>
      </w:tr>
    </w:tbl>
    <w:tbl>
      <w:tblPr>
        <w:tblW w:w="11520"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0"/>
        <w:gridCol w:w="2790"/>
        <w:gridCol w:w="1350"/>
        <w:gridCol w:w="3780"/>
        <w:gridCol w:w="1170"/>
        <w:gridCol w:w="540"/>
      </w:tblGrid>
      <w:tr w:rsidR="00FD571A" w:rsidRPr="00FF3C4E" w14:paraId="2C89F83C" w14:textId="77777777" w:rsidTr="00A46111">
        <w:trPr>
          <w:trHeight w:val="546"/>
        </w:trPr>
        <w:tc>
          <w:tcPr>
            <w:tcW w:w="540" w:type="dxa"/>
            <w:shd w:val="clear" w:color="auto" w:fill="9CC2E5"/>
          </w:tcPr>
          <w:p w14:paraId="3B5FE86E" w14:textId="77777777" w:rsidR="00A65963" w:rsidRPr="00FF3C4E" w:rsidRDefault="00A65963" w:rsidP="002D3090">
            <w:pPr>
              <w:jc w:val="center"/>
              <w:rPr>
                <w:color w:val="000000" w:themeColor="text1"/>
              </w:rPr>
            </w:pPr>
            <w:r w:rsidRPr="00FF3C4E">
              <w:rPr>
                <w:b/>
                <w:bCs/>
                <w:color w:val="000000" w:themeColor="text1"/>
              </w:rPr>
              <w:t xml:space="preserve">Nr. Rendor </w:t>
            </w:r>
            <w:r w:rsidRPr="00FF3C4E">
              <w:rPr>
                <w:rStyle w:val="FootnoteReference"/>
                <w:b/>
                <w:bCs/>
                <w:color w:val="000000" w:themeColor="text1"/>
              </w:rPr>
              <w:footnoteReference w:id="1"/>
            </w:r>
          </w:p>
        </w:tc>
        <w:tc>
          <w:tcPr>
            <w:tcW w:w="1350" w:type="dxa"/>
            <w:shd w:val="clear" w:color="auto" w:fill="9CC2E5"/>
          </w:tcPr>
          <w:p w14:paraId="69649615" w14:textId="77777777" w:rsidR="00A65963" w:rsidRPr="00FF3C4E" w:rsidRDefault="00A65963" w:rsidP="002D3090">
            <w:pPr>
              <w:jc w:val="center"/>
              <w:rPr>
                <w:b/>
                <w:bCs/>
                <w:color w:val="000000" w:themeColor="text1"/>
              </w:rPr>
            </w:pPr>
            <w:r w:rsidRPr="00FF3C4E">
              <w:rPr>
                <w:b/>
                <w:bCs/>
                <w:color w:val="000000" w:themeColor="text1"/>
              </w:rPr>
              <w:t>Data e kërkesës</w:t>
            </w:r>
            <w:r w:rsidRPr="00FF3C4E">
              <w:rPr>
                <w:rStyle w:val="FootnoteReference"/>
                <w:b/>
                <w:bCs/>
                <w:color w:val="000000" w:themeColor="text1"/>
              </w:rPr>
              <w:footnoteReference w:id="2"/>
            </w:r>
          </w:p>
        </w:tc>
        <w:tc>
          <w:tcPr>
            <w:tcW w:w="2790" w:type="dxa"/>
            <w:shd w:val="clear" w:color="auto" w:fill="9CC2E5"/>
          </w:tcPr>
          <w:p w14:paraId="52DE8077" w14:textId="77777777" w:rsidR="00A65963" w:rsidRPr="00FF3C4E" w:rsidRDefault="00A65963" w:rsidP="002D3090">
            <w:pPr>
              <w:jc w:val="center"/>
              <w:rPr>
                <w:b/>
                <w:bCs/>
                <w:color w:val="000000" w:themeColor="text1"/>
              </w:rPr>
            </w:pPr>
            <w:r w:rsidRPr="00FF3C4E">
              <w:rPr>
                <w:b/>
                <w:bCs/>
                <w:color w:val="000000" w:themeColor="text1"/>
              </w:rPr>
              <w:t>Objekti i kërkesës</w:t>
            </w:r>
            <w:r w:rsidRPr="00FF3C4E">
              <w:rPr>
                <w:rStyle w:val="FootnoteReference"/>
                <w:b/>
                <w:bCs/>
                <w:color w:val="000000" w:themeColor="text1"/>
              </w:rPr>
              <w:footnoteReference w:id="3"/>
            </w:r>
          </w:p>
          <w:p w14:paraId="3CF33118" w14:textId="77777777" w:rsidR="00A65963" w:rsidRPr="00FF3C4E" w:rsidRDefault="00A65963" w:rsidP="002D3090">
            <w:pPr>
              <w:jc w:val="center"/>
              <w:rPr>
                <w:b/>
                <w:bCs/>
                <w:color w:val="000000" w:themeColor="text1"/>
              </w:rPr>
            </w:pPr>
          </w:p>
          <w:p w14:paraId="58AF33B8" w14:textId="77777777" w:rsidR="00A65963" w:rsidRPr="00FF3C4E" w:rsidRDefault="00A65963" w:rsidP="002D3090">
            <w:pPr>
              <w:jc w:val="center"/>
              <w:rPr>
                <w:color w:val="000000" w:themeColor="text1"/>
              </w:rPr>
            </w:pPr>
          </w:p>
        </w:tc>
        <w:tc>
          <w:tcPr>
            <w:tcW w:w="1350" w:type="dxa"/>
            <w:shd w:val="clear" w:color="auto" w:fill="9CC2E5"/>
          </w:tcPr>
          <w:p w14:paraId="545FF70E" w14:textId="77777777" w:rsidR="00A65963" w:rsidRPr="00FF3C4E" w:rsidRDefault="00A65963" w:rsidP="002D3090">
            <w:pPr>
              <w:jc w:val="center"/>
              <w:rPr>
                <w:b/>
                <w:bCs/>
                <w:color w:val="000000" w:themeColor="text1"/>
              </w:rPr>
            </w:pPr>
            <w:r w:rsidRPr="00FF3C4E">
              <w:rPr>
                <w:b/>
                <w:bCs/>
                <w:color w:val="000000" w:themeColor="text1"/>
              </w:rPr>
              <w:t>Data e përgjigjes</w:t>
            </w:r>
            <w:r w:rsidRPr="00FF3C4E">
              <w:rPr>
                <w:rStyle w:val="FootnoteReference"/>
                <w:b/>
                <w:bCs/>
                <w:color w:val="000000" w:themeColor="text1"/>
              </w:rPr>
              <w:footnoteReference w:id="4"/>
            </w:r>
          </w:p>
        </w:tc>
        <w:tc>
          <w:tcPr>
            <w:tcW w:w="3780" w:type="dxa"/>
            <w:shd w:val="clear" w:color="auto" w:fill="9CC2E5"/>
          </w:tcPr>
          <w:p w14:paraId="0095AC6E" w14:textId="77777777" w:rsidR="00A65963" w:rsidRPr="00FF3C4E" w:rsidRDefault="00A65963" w:rsidP="002D3090">
            <w:pPr>
              <w:jc w:val="center"/>
              <w:rPr>
                <w:b/>
                <w:bCs/>
                <w:color w:val="000000" w:themeColor="text1"/>
              </w:rPr>
            </w:pPr>
            <w:r w:rsidRPr="00FF3C4E">
              <w:rPr>
                <w:b/>
                <w:bCs/>
                <w:color w:val="000000" w:themeColor="text1"/>
              </w:rPr>
              <w:t>Përgjigje</w:t>
            </w:r>
            <w:r w:rsidRPr="00FF3C4E">
              <w:rPr>
                <w:rStyle w:val="FootnoteReference"/>
                <w:b/>
                <w:bCs/>
                <w:color w:val="000000" w:themeColor="text1"/>
              </w:rPr>
              <w:footnoteReference w:id="5"/>
            </w:r>
          </w:p>
          <w:p w14:paraId="0904B15C" w14:textId="77777777" w:rsidR="00A65963" w:rsidRPr="00FF3C4E" w:rsidRDefault="00A65963" w:rsidP="002D3090">
            <w:pPr>
              <w:jc w:val="center"/>
              <w:rPr>
                <w:color w:val="000000" w:themeColor="text1"/>
              </w:rPr>
            </w:pPr>
          </w:p>
        </w:tc>
        <w:tc>
          <w:tcPr>
            <w:tcW w:w="1170" w:type="dxa"/>
            <w:shd w:val="clear" w:color="auto" w:fill="9CC2E5"/>
          </w:tcPr>
          <w:p w14:paraId="1414CF26" w14:textId="77777777" w:rsidR="00A65963" w:rsidRPr="00FF3C4E" w:rsidRDefault="00A65963" w:rsidP="002D3090">
            <w:pPr>
              <w:jc w:val="center"/>
              <w:rPr>
                <w:b/>
                <w:color w:val="000000" w:themeColor="text1"/>
              </w:rPr>
            </w:pPr>
            <w:r w:rsidRPr="00FF3C4E">
              <w:rPr>
                <w:b/>
                <w:color w:val="000000" w:themeColor="text1"/>
              </w:rPr>
              <w:t>Mënyra e përfundimit të kërkesës</w:t>
            </w:r>
            <w:r w:rsidRPr="00FF3C4E">
              <w:rPr>
                <w:rStyle w:val="FootnoteReference"/>
                <w:b/>
                <w:color w:val="000000" w:themeColor="text1"/>
              </w:rPr>
              <w:footnoteReference w:id="6"/>
            </w:r>
          </w:p>
        </w:tc>
        <w:tc>
          <w:tcPr>
            <w:tcW w:w="540" w:type="dxa"/>
            <w:shd w:val="clear" w:color="auto" w:fill="9CC2E5"/>
          </w:tcPr>
          <w:p w14:paraId="7D5B90AC" w14:textId="77777777" w:rsidR="00A65963" w:rsidRPr="00FF3C4E" w:rsidRDefault="00A65963" w:rsidP="002D3090">
            <w:pPr>
              <w:jc w:val="center"/>
              <w:rPr>
                <w:b/>
                <w:bCs/>
                <w:color w:val="000000" w:themeColor="text1"/>
              </w:rPr>
            </w:pPr>
            <w:r w:rsidRPr="00FF3C4E">
              <w:rPr>
                <w:b/>
                <w:bCs/>
                <w:color w:val="000000" w:themeColor="text1"/>
              </w:rPr>
              <w:t>Tarifa</w:t>
            </w:r>
            <w:r w:rsidRPr="00FF3C4E">
              <w:rPr>
                <w:rStyle w:val="FootnoteReference"/>
                <w:b/>
                <w:bCs/>
                <w:color w:val="000000" w:themeColor="text1"/>
              </w:rPr>
              <w:footnoteReference w:id="7"/>
            </w:r>
          </w:p>
          <w:p w14:paraId="3CCA10F5" w14:textId="77777777" w:rsidR="00A65963" w:rsidRPr="00FF3C4E" w:rsidRDefault="00A65963" w:rsidP="002D3090">
            <w:pPr>
              <w:jc w:val="center"/>
              <w:rPr>
                <w:b/>
                <w:bCs/>
                <w:color w:val="000000" w:themeColor="text1"/>
              </w:rPr>
            </w:pPr>
          </w:p>
          <w:p w14:paraId="2EF9499E" w14:textId="77777777" w:rsidR="00A65963" w:rsidRPr="00FF3C4E" w:rsidRDefault="00A65963" w:rsidP="002D3090">
            <w:pPr>
              <w:jc w:val="center"/>
              <w:rPr>
                <w:color w:val="000000" w:themeColor="text1"/>
              </w:rPr>
            </w:pPr>
          </w:p>
        </w:tc>
      </w:tr>
      <w:tr w:rsidR="00FD571A" w:rsidRPr="00FF3C4E" w14:paraId="784EAF66" w14:textId="77777777" w:rsidTr="00A46111">
        <w:trPr>
          <w:trHeight w:val="310"/>
        </w:trPr>
        <w:tc>
          <w:tcPr>
            <w:tcW w:w="540" w:type="dxa"/>
          </w:tcPr>
          <w:p w14:paraId="4404D45D" w14:textId="302E0E16" w:rsidR="00A65963" w:rsidRPr="00FF3C4E" w:rsidRDefault="00980AB1" w:rsidP="002D3090">
            <w:pPr>
              <w:rPr>
                <w:color w:val="000000" w:themeColor="text1"/>
              </w:rPr>
            </w:pPr>
            <w:r>
              <w:rPr>
                <w:color w:val="000000" w:themeColor="text1"/>
              </w:rPr>
              <w:t>1</w:t>
            </w:r>
            <w:r w:rsidR="00A65963" w:rsidRPr="00FF3C4E">
              <w:rPr>
                <w:color w:val="000000" w:themeColor="text1"/>
              </w:rPr>
              <w:t>.</w:t>
            </w:r>
          </w:p>
        </w:tc>
        <w:tc>
          <w:tcPr>
            <w:tcW w:w="1350" w:type="dxa"/>
          </w:tcPr>
          <w:p w14:paraId="101E7AA8" w14:textId="71DF3E60" w:rsidR="00A65963" w:rsidRPr="00FF3C4E" w:rsidRDefault="00980AB1" w:rsidP="007771E2">
            <w:pPr>
              <w:rPr>
                <w:color w:val="000000" w:themeColor="text1"/>
              </w:rPr>
            </w:pPr>
            <w:r>
              <w:rPr>
                <w:color w:val="000000" w:themeColor="text1"/>
              </w:rPr>
              <w:t>24.12.2025</w:t>
            </w:r>
          </w:p>
        </w:tc>
        <w:tc>
          <w:tcPr>
            <w:tcW w:w="2790" w:type="dxa"/>
          </w:tcPr>
          <w:p w14:paraId="3DDAB5D8" w14:textId="292EEE0A" w:rsidR="00A46111" w:rsidRDefault="006B1807" w:rsidP="00A46111">
            <w:pPr>
              <w:pStyle w:val="NormalWeb"/>
              <w:shd w:val="clear" w:color="auto" w:fill="FFFFFF"/>
              <w:rPr>
                <w:color w:val="000000" w:themeColor="text1"/>
              </w:rPr>
            </w:pPr>
            <w:r>
              <w:rPr>
                <w:color w:val="000000" w:themeColor="text1"/>
              </w:rPr>
              <w:t xml:space="preserve">Informacion mbi </w:t>
            </w:r>
            <w:r w:rsidR="00A46111" w:rsidRPr="00A46111">
              <w:rPr>
                <w:color w:val="000000" w:themeColor="text1"/>
              </w:rPr>
              <w:t>vler</w:t>
            </w:r>
            <w:r>
              <w:rPr>
                <w:color w:val="000000" w:themeColor="text1"/>
              </w:rPr>
              <w:t>ën</w:t>
            </w:r>
            <w:r w:rsidR="00A46111" w:rsidRPr="00A46111">
              <w:rPr>
                <w:color w:val="000000" w:themeColor="text1"/>
              </w:rPr>
              <w:t xml:space="preserve"> e shpenzuar për bileta avioni dhe akomodim për udhëtimet jashtë shtetit të realizuara për periudhën 01.01.2025-23.12.2025 nga përfaqësues të Ministrive dhe Kryeministrisë?</w:t>
            </w:r>
          </w:p>
          <w:p w14:paraId="1A966F1C" w14:textId="248D3B97" w:rsidR="006B1807" w:rsidRPr="00A46111" w:rsidRDefault="006B1807" w:rsidP="00A46111">
            <w:pPr>
              <w:pStyle w:val="NormalWeb"/>
              <w:shd w:val="clear" w:color="auto" w:fill="FFFFFF"/>
              <w:rPr>
                <w:color w:val="000000" w:themeColor="text1"/>
              </w:rPr>
            </w:pPr>
            <w:r>
              <w:rPr>
                <w:color w:val="000000" w:themeColor="text1"/>
              </w:rPr>
              <w:t>Destinacionet, aktivitetet dhe kush ka udh</w:t>
            </w:r>
            <w:r w:rsidR="008B0244">
              <w:rPr>
                <w:color w:val="000000" w:themeColor="text1"/>
              </w:rPr>
              <w:t>ë</w:t>
            </w:r>
            <w:r>
              <w:rPr>
                <w:color w:val="000000" w:themeColor="text1"/>
              </w:rPr>
              <w:t>tuar.</w:t>
            </w:r>
          </w:p>
          <w:p w14:paraId="45F44D75" w14:textId="26F43145" w:rsidR="00C5648C" w:rsidRPr="00FF3C4E" w:rsidRDefault="00A46111" w:rsidP="006B1807">
            <w:pPr>
              <w:pStyle w:val="NormalWeb"/>
              <w:shd w:val="clear" w:color="auto" w:fill="FFFFFF"/>
              <w:rPr>
                <w:color w:val="000000" w:themeColor="text1"/>
              </w:rPr>
            </w:pPr>
            <w:r w:rsidRPr="00A46111">
              <w:rPr>
                <w:color w:val="000000" w:themeColor="text1"/>
              </w:rPr>
              <w:t>Kopje e d</w:t>
            </w:r>
            <w:r w:rsidR="006B1807">
              <w:rPr>
                <w:color w:val="000000" w:themeColor="text1"/>
              </w:rPr>
              <w:t>o</w:t>
            </w:r>
            <w:r w:rsidRPr="00A46111">
              <w:rPr>
                <w:color w:val="000000" w:themeColor="text1"/>
              </w:rPr>
              <w:t>kumenteve</w:t>
            </w:r>
          </w:p>
        </w:tc>
        <w:tc>
          <w:tcPr>
            <w:tcW w:w="1350" w:type="dxa"/>
          </w:tcPr>
          <w:p w14:paraId="353386D0" w14:textId="072AF841" w:rsidR="00A65963" w:rsidRPr="00FF3C4E" w:rsidRDefault="00E83FA8" w:rsidP="007771E2">
            <w:pPr>
              <w:rPr>
                <w:color w:val="000000" w:themeColor="text1"/>
              </w:rPr>
            </w:pPr>
            <w:r>
              <w:rPr>
                <w:color w:val="000000" w:themeColor="text1"/>
              </w:rPr>
              <w:t>06.01.2026</w:t>
            </w:r>
          </w:p>
        </w:tc>
        <w:tc>
          <w:tcPr>
            <w:tcW w:w="3780" w:type="dxa"/>
          </w:tcPr>
          <w:p w14:paraId="22877F4E" w14:textId="77777777" w:rsidR="00910885" w:rsidRPr="00910885" w:rsidRDefault="00910885" w:rsidP="00A46111">
            <w:pPr>
              <w:ind w:left="-107" w:firstLine="467"/>
            </w:pPr>
            <w:r w:rsidRPr="00910885">
              <w:t>Agjencia për Media dhe Informim (MIA) nuk disponon informacion të detajuar financiar apo administrativ lidhur me proceset e prenotimit të biletave të udhëtimit, akomodimit, kostot përkatëse, destinacionet konkrete, listat e punonjësve pjesëmarrës apo axhendat dhe aktivitetet specifike të zhvilluara jashtë vendit nga ministritë apo nga Kryeministria. Këto të dhëna administrohen drejtpërdrejt nga institucionet përkatëse, në përputhje me kompetencat e tyre ligjore dhe me fushat që ato mbulojnë.</w:t>
            </w:r>
          </w:p>
          <w:p w14:paraId="432B938D" w14:textId="77777777" w:rsidR="00910885" w:rsidRPr="00910885" w:rsidRDefault="00910885" w:rsidP="00A46111">
            <w:pPr>
              <w:ind w:left="-107" w:firstLine="467"/>
            </w:pPr>
            <w:r w:rsidRPr="00910885">
              <w:t>Roli dhe funksioni i MIA-s, i cili lidhet me koordinimin dhe komunikimin publik të veprimtarisë institucionale, nuk përfshin administrimin e dokumentacionit financiar, logjistik apo të agjendave zyrtare të udhëtimeve të ministrive apo institucioneve të tjera të linjës.</w:t>
            </w:r>
          </w:p>
          <w:p w14:paraId="4B4D025D" w14:textId="0112E82E" w:rsidR="00A65963" w:rsidRPr="006B1807" w:rsidRDefault="00910885" w:rsidP="006B1807">
            <w:pPr>
              <w:ind w:left="-107" w:firstLine="467"/>
            </w:pPr>
            <w:r w:rsidRPr="00910885">
              <w:t>Për këtë arsye, për një informacion të plotë, të detajuar dhe zyrtar sipas elementeve të kërkuara në kërkesën tuaj, ju sugjerojmë t’i drejtoheni drejtpërdrejt institucioneve dhe ministrive përkatëse, të cilat janë autoritetet kompetente për vënien në dispozicion të këtyre të dhënave, në përputhje me legjislacionin në fuqi për të drejtën e informimit.</w:t>
            </w:r>
          </w:p>
        </w:tc>
        <w:tc>
          <w:tcPr>
            <w:tcW w:w="1170" w:type="dxa"/>
          </w:tcPr>
          <w:p w14:paraId="64607F93" w14:textId="3220CE0E" w:rsidR="00A65963" w:rsidRPr="00FF3C4E" w:rsidRDefault="00910885" w:rsidP="002D3090">
            <w:pPr>
              <w:rPr>
                <w:color w:val="000000" w:themeColor="text1"/>
              </w:rPr>
            </w:pPr>
            <w:r>
              <w:rPr>
                <w:color w:val="000000" w:themeColor="text1"/>
              </w:rPr>
              <w:t>E plotë</w:t>
            </w:r>
          </w:p>
        </w:tc>
        <w:tc>
          <w:tcPr>
            <w:tcW w:w="540" w:type="dxa"/>
          </w:tcPr>
          <w:p w14:paraId="650B29C7" w14:textId="77777777" w:rsidR="00A65963" w:rsidRPr="00FF3C4E" w:rsidRDefault="00A65963" w:rsidP="002D3090">
            <w:pPr>
              <w:rPr>
                <w:color w:val="000000" w:themeColor="text1"/>
              </w:rPr>
            </w:pPr>
            <w:r w:rsidRPr="00FF3C4E">
              <w:rPr>
                <w:color w:val="000000" w:themeColor="text1"/>
              </w:rPr>
              <w:t>0</w:t>
            </w:r>
          </w:p>
        </w:tc>
      </w:tr>
      <w:tr w:rsidR="00FD571A" w:rsidRPr="00FF3C4E" w14:paraId="0AD7B430" w14:textId="77777777" w:rsidTr="00A46111">
        <w:trPr>
          <w:trHeight w:val="295"/>
        </w:trPr>
        <w:tc>
          <w:tcPr>
            <w:tcW w:w="540" w:type="dxa"/>
            <w:tcBorders>
              <w:top w:val="single" w:sz="4" w:space="0" w:color="auto"/>
              <w:left w:val="single" w:sz="4" w:space="0" w:color="auto"/>
              <w:bottom w:val="single" w:sz="4" w:space="0" w:color="auto"/>
              <w:right w:val="single" w:sz="4" w:space="0" w:color="auto"/>
            </w:tcBorders>
          </w:tcPr>
          <w:p w14:paraId="7DABE2C6" w14:textId="168281F9" w:rsidR="00A65963" w:rsidRPr="00FF3C4E" w:rsidRDefault="00E83FA8" w:rsidP="002D3090">
            <w:pPr>
              <w:rPr>
                <w:color w:val="000000" w:themeColor="text1"/>
              </w:rPr>
            </w:pPr>
            <w:r>
              <w:rPr>
                <w:color w:val="000000" w:themeColor="text1"/>
              </w:rPr>
              <w:lastRenderedPageBreak/>
              <w:t>2</w:t>
            </w:r>
            <w:r w:rsidR="00A65963" w:rsidRPr="00FF3C4E">
              <w:rPr>
                <w:color w:val="000000" w:themeColor="text1"/>
              </w:rPr>
              <w:t>.</w:t>
            </w:r>
          </w:p>
        </w:tc>
        <w:tc>
          <w:tcPr>
            <w:tcW w:w="1350" w:type="dxa"/>
            <w:tcBorders>
              <w:top w:val="single" w:sz="4" w:space="0" w:color="auto"/>
              <w:left w:val="single" w:sz="4" w:space="0" w:color="auto"/>
              <w:bottom w:val="single" w:sz="4" w:space="0" w:color="auto"/>
              <w:right w:val="single" w:sz="4" w:space="0" w:color="auto"/>
            </w:tcBorders>
          </w:tcPr>
          <w:p w14:paraId="4627B68C" w14:textId="55FAB774" w:rsidR="00A65963" w:rsidRPr="00FF3C4E" w:rsidRDefault="00F73107" w:rsidP="002D3090">
            <w:pPr>
              <w:rPr>
                <w:color w:val="000000" w:themeColor="text1"/>
              </w:rPr>
            </w:pPr>
            <w:r>
              <w:rPr>
                <w:color w:val="000000" w:themeColor="text1"/>
              </w:rPr>
              <w:t>05.01.2026</w:t>
            </w:r>
          </w:p>
        </w:tc>
        <w:tc>
          <w:tcPr>
            <w:tcW w:w="2790" w:type="dxa"/>
            <w:tcBorders>
              <w:top w:val="single" w:sz="4" w:space="0" w:color="auto"/>
              <w:left w:val="single" w:sz="4" w:space="0" w:color="auto"/>
              <w:bottom w:val="single" w:sz="4" w:space="0" w:color="auto"/>
              <w:right w:val="single" w:sz="4" w:space="0" w:color="auto"/>
            </w:tcBorders>
          </w:tcPr>
          <w:p w14:paraId="5591618C" w14:textId="1EDCE9FF" w:rsidR="006752C6" w:rsidRPr="006752C6" w:rsidRDefault="006752C6" w:rsidP="006752C6">
            <w:pPr>
              <w:rPr>
                <w:color w:val="000000" w:themeColor="text1"/>
              </w:rPr>
            </w:pPr>
            <w:r>
              <w:rPr>
                <w:color w:val="000000" w:themeColor="text1"/>
              </w:rPr>
              <w:t>K</w:t>
            </w:r>
            <w:r w:rsidRPr="006752C6">
              <w:rPr>
                <w:color w:val="000000" w:themeColor="text1"/>
              </w:rPr>
              <w:t>opje të dokumentacionit zyrtar lidhur me zbatimin e detyrave të Strategjisë Kombëtare kundër Ndërhyrjeve të Huaja dhe Dezinformimit 2025–2030 për institucionin tuaj në 6 muajt e parë pas hyrjes në fuqi.</w:t>
            </w:r>
          </w:p>
          <w:p w14:paraId="5EF0CE98" w14:textId="49900577" w:rsidR="006752C6" w:rsidRPr="006752C6" w:rsidRDefault="006752C6" w:rsidP="006752C6">
            <w:pPr>
              <w:rPr>
                <w:color w:val="000000" w:themeColor="text1"/>
              </w:rPr>
            </w:pPr>
            <w:r w:rsidRPr="006752C6">
              <w:rPr>
                <w:color w:val="000000" w:themeColor="text1"/>
              </w:rPr>
              <w:t xml:space="preserve">(1) Plani </w:t>
            </w:r>
            <w:r>
              <w:rPr>
                <w:color w:val="000000" w:themeColor="text1"/>
              </w:rPr>
              <w:t xml:space="preserve">i </w:t>
            </w:r>
            <w:r w:rsidRPr="006752C6">
              <w:rPr>
                <w:color w:val="000000" w:themeColor="text1"/>
              </w:rPr>
              <w:t>punës/planin e veprimit të institucionit tuaj (nëse ka) për zbatimin e masave ku jeni përgjegjës sipas Udhërrëfyesit të Strategjisë;</w:t>
            </w:r>
          </w:p>
          <w:p w14:paraId="573286CB" w14:textId="77777777" w:rsidR="006752C6" w:rsidRPr="006752C6" w:rsidRDefault="006752C6" w:rsidP="006752C6">
            <w:pPr>
              <w:rPr>
                <w:color w:val="000000" w:themeColor="text1"/>
              </w:rPr>
            </w:pPr>
            <w:r w:rsidRPr="006752C6">
              <w:rPr>
                <w:color w:val="000000" w:themeColor="text1"/>
              </w:rPr>
              <w:t>(2) Urdhrin/vendimin për ngritjen e strukturës së posaçme ose caktimin e një personi përgjegjës për zbatimin e Strategjisë dhe masave përkatëse;</w:t>
            </w:r>
          </w:p>
          <w:p w14:paraId="4869F0F6" w14:textId="77777777" w:rsidR="006752C6" w:rsidRPr="006752C6" w:rsidRDefault="006752C6" w:rsidP="006752C6">
            <w:pPr>
              <w:rPr>
                <w:color w:val="000000" w:themeColor="text1"/>
              </w:rPr>
            </w:pPr>
            <w:r w:rsidRPr="006752C6">
              <w:rPr>
                <w:color w:val="000000" w:themeColor="text1"/>
              </w:rPr>
              <w:t>(3) Buxhetin e parashikuar dhe/ose shpenzimet e planifikuara/realizuara për masat e nevojshme për zbatimin e Strategjisë (për periudhën 6-mujore të parë), nëse ka;</w:t>
            </w:r>
          </w:p>
          <w:p w14:paraId="234DF7B1" w14:textId="77777777" w:rsidR="006752C6" w:rsidRPr="006752C6" w:rsidRDefault="006752C6" w:rsidP="006752C6">
            <w:pPr>
              <w:rPr>
                <w:color w:val="000000" w:themeColor="text1"/>
              </w:rPr>
            </w:pPr>
            <w:r w:rsidRPr="006752C6">
              <w:rPr>
                <w:color w:val="000000" w:themeColor="text1"/>
              </w:rPr>
              <w:t>(4) Dokumentacionin mbi publikimet/informimet periodike mbi gjendjen e ekonomisë vendase në raport me kapitalet dhe investimet e huaja.</w:t>
            </w:r>
          </w:p>
          <w:p w14:paraId="0D67D1A7" w14:textId="77777777" w:rsidR="00A65963" w:rsidRPr="00FF3C4E" w:rsidRDefault="00A65963" w:rsidP="007771E2">
            <w:pP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62E2A93D" w14:textId="199C0439" w:rsidR="00A65963" w:rsidRPr="00FF3C4E" w:rsidRDefault="00F73107" w:rsidP="002D3090">
            <w:pPr>
              <w:rPr>
                <w:color w:val="000000" w:themeColor="text1"/>
              </w:rPr>
            </w:pPr>
            <w:r>
              <w:rPr>
                <w:color w:val="000000" w:themeColor="text1"/>
              </w:rPr>
              <w:t>06.01.2026</w:t>
            </w:r>
          </w:p>
        </w:tc>
        <w:tc>
          <w:tcPr>
            <w:tcW w:w="3780" w:type="dxa"/>
            <w:tcBorders>
              <w:top w:val="single" w:sz="4" w:space="0" w:color="auto"/>
              <w:left w:val="single" w:sz="4" w:space="0" w:color="auto"/>
              <w:bottom w:val="single" w:sz="4" w:space="0" w:color="auto"/>
              <w:right w:val="single" w:sz="4" w:space="0" w:color="auto"/>
            </w:tcBorders>
          </w:tcPr>
          <w:p w14:paraId="29F361B5" w14:textId="77777777" w:rsidR="000925B4" w:rsidRPr="000925B4" w:rsidRDefault="000925B4" w:rsidP="000925B4">
            <w:r w:rsidRPr="000925B4">
              <w:t>Strategjia Kombëtare kundër Ndërhyrjeve të Huaja dhe Dezinformimit 2025–2030, përcakton një qasje të integruar shtetërore për parandalimin, identifikimin dhe adresimin e dezinformimit dhe ndërhyrjeve të huaja në hapësirën informative, në funksion të mbrojtjes së demokracisë, sigurisë kombëtare dhe interesit publik.</w:t>
            </w:r>
          </w:p>
          <w:p w14:paraId="78F823DC" w14:textId="77777777" w:rsidR="000925B4" w:rsidRPr="000925B4" w:rsidRDefault="000925B4" w:rsidP="000925B4">
            <w:r w:rsidRPr="000925B4">
              <w:t>Në këtë kuadër, Agjencia për Media dhe Informim, referuar si AMI, në Udhërrëfyes është ngarkuar me përgjegjësi të drejtpërdrejta në lidhje me:</w:t>
            </w:r>
          </w:p>
          <w:p w14:paraId="62849738" w14:textId="77777777" w:rsidR="000925B4" w:rsidRPr="000925B4" w:rsidRDefault="000925B4" w:rsidP="000925B4">
            <w:r w:rsidRPr="000925B4">
              <w:t>• koordinimin ndërinstitucional në fushën e komunikimit strategjik;</w:t>
            </w:r>
          </w:p>
          <w:p w14:paraId="13AA398E" w14:textId="77777777" w:rsidR="000925B4" w:rsidRPr="000925B4" w:rsidRDefault="000925B4" w:rsidP="000925B4">
            <w:r w:rsidRPr="000925B4">
              <w:t>• monitorimin dhe analizën e hapësirës informative;</w:t>
            </w:r>
          </w:p>
          <w:p w14:paraId="046EB9E2" w14:textId="77777777" w:rsidR="000925B4" w:rsidRPr="000925B4" w:rsidRDefault="000925B4" w:rsidP="000925B4">
            <w:r w:rsidRPr="000925B4">
              <w:t>• ndërtimin dhe forcimin e kapaciteteve institucionale për identifikimin dhe kundërvënien ndaj dezinformimit;</w:t>
            </w:r>
          </w:p>
          <w:p w14:paraId="26DDB68B" w14:textId="77777777" w:rsidR="000925B4" w:rsidRPr="000925B4" w:rsidRDefault="000925B4" w:rsidP="000925B4">
            <w:r w:rsidRPr="000925B4">
              <w:t>• komunikimin publik të bazuar në burime zyrtare dhe të verifikuara.</w:t>
            </w:r>
          </w:p>
          <w:p w14:paraId="22B0C91E" w14:textId="77777777" w:rsidR="000925B4" w:rsidRPr="000925B4" w:rsidRDefault="000925B4" w:rsidP="000925B4">
            <w:r w:rsidRPr="000925B4">
              <w:t>Angazhimi i AMI-së reflektohet kryesisht në Objektivat II, III dhe IV të Udhërrëfyesit të Strategjisë, të cilat lidhen me monitorimin e ekosistemit informativ, rritjen e kapaciteteve dhe bashkëpunimin ndërinstitucional e ndërkombëtar.</w:t>
            </w:r>
          </w:p>
          <w:p w14:paraId="73203679" w14:textId="77777777" w:rsidR="000925B4" w:rsidRPr="000925B4" w:rsidRDefault="000925B4" w:rsidP="000925B4">
            <w:r w:rsidRPr="000925B4">
              <w:t>Aktualisht, Agjencia për Media dhe Informim masat për zbatimin e Strategjisë i ka integruar në planet vjetore të punës së Agjencisë, në funksion të objektivave të saj ligjore dhe institucionale.</w:t>
            </w:r>
          </w:p>
          <w:p w14:paraId="35D6B11A" w14:textId="77777777" w:rsidR="000925B4" w:rsidRPr="000925B4" w:rsidRDefault="000925B4" w:rsidP="000925B4">
            <w:r w:rsidRPr="000925B4">
              <w:t xml:space="preserve">Këto masa ndërtohen mbi praktikat ekzistuese të monitorimit dhe analizës së medias, të cilat në rastin e institucionit tonë kryhen në kohë reale, përmes kanaleve të komunikimit dhe informacionit, sipas profilit dhe ndahet me </w:t>
            </w:r>
            <w:r w:rsidRPr="000925B4">
              <w:lastRenderedPageBreak/>
              <w:t>institucionet e tjera përmes drejtorisë respektive dhe zëdhënësve të komunikimit. Kjo nuk është vetëm në rastet e FIMI-t, por në të gjitha rastet kur ka dezinformim apo keqinformim apo mungesë informacioni në mënyrë të tillë që institucionet, përfshirë dhe Këshillin e Ministrave të jenë të informuara ose të bëjnë reagimet e nevojshme.</w:t>
            </w:r>
          </w:p>
          <w:p w14:paraId="0854F0B7" w14:textId="77777777" w:rsidR="000925B4" w:rsidRPr="000925B4" w:rsidRDefault="000925B4" w:rsidP="000925B4">
            <w:r w:rsidRPr="000925B4">
              <w:t> </w:t>
            </w:r>
          </w:p>
          <w:p w14:paraId="3DA34DC9" w14:textId="77777777" w:rsidR="000925B4" w:rsidRPr="000925B4" w:rsidRDefault="000925B4" w:rsidP="000925B4">
            <w:r w:rsidRPr="000925B4">
              <w:t>Struktura përgjegjëse / personi përgjegjës</w:t>
            </w:r>
          </w:p>
          <w:p w14:paraId="3CEBDF6D" w14:textId="77777777" w:rsidR="000925B4" w:rsidRPr="000925B4" w:rsidRDefault="000925B4" w:rsidP="000925B4">
            <w:r w:rsidRPr="000925B4">
              <w:t>Keqinformimi dhe dezinformimi trajtohen nga Drejtoria e Informimit të Institucioneve, Hulumtimit dhe Përmbajtjes, pranë Agjencisë për Media dhe Informim, përmes:</w:t>
            </w:r>
          </w:p>
          <w:p w14:paraId="3FE73669" w14:textId="77777777" w:rsidR="000925B4" w:rsidRPr="00076A4C" w:rsidRDefault="000925B4" w:rsidP="000925B4">
            <w:pPr>
              <w:rPr>
                <w:lang w:val="it-IT"/>
              </w:rPr>
            </w:pPr>
            <w:r w:rsidRPr="00076A4C">
              <w:rPr>
                <w:lang w:val="it-IT"/>
              </w:rPr>
              <w:t>-Sektorit për Informimin e Institucioneve, i cili ndjek dhe evidenton raportimet mediatike dhe narrativat problematike;</w:t>
            </w:r>
          </w:p>
          <w:p w14:paraId="241F1D82" w14:textId="77777777" w:rsidR="000925B4" w:rsidRPr="00076A4C" w:rsidRDefault="000925B4" w:rsidP="000925B4">
            <w:pPr>
              <w:rPr>
                <w:lang w:val="it-IT"/>
              </w:rPr>
            </w:pPr>
            <w:r w:rsidRPr="00076A4C">
              <w:rPr>
                <w:lang w:val="it-IT"/>
              </w:rPr>
              <w:t>-Sektorit për Hulumtimin dhe Përmbajtjen, i cili analizon përmbajtjen mediatike përmes verifikimit të burimeve dhe fakteve, si dhe identifikon narrativa të dezinformimit.</w:t>
            </w:r>
          </w:p>
          <w:p w14:paraId="58BBC304" w14:textId="77777777" w:rsidR="000925B4" w:rsidRPr="00076A4C" w:rsidRDefault="000925B4" w:rsidP="000925B4">
            <w:pPr>
              <w:rPr>
                <w:lang w:val="it-IT"/>
              </w:rPr>
            </w:pPr>
            <w:r w:rsidRPr="00076A4C">
              <w:rPr>
                <w:lang w:val="it-IT"/>
              </w:rPr>
              <w:t>Koordinatorja e kësaj Drejtorie është caktuar si përfaqësuese e AMI-së dhe e Republikës së Shqipërisë në mekanizma ndërkombëtarë të bashkëpunimit, përfshirë: NATO Rapid Response Group Community of Interest Portal (NRRG) dhe NRRG Signal Group, si dhe në takime dhe trajnime të zhvilluara në kuadër të bashkëpunimit me NATO-n.</w:t>
            </w:r>
          </w:p>
          <w:p w14:paraId="36355289" w14:textId="77777777" w:rsidR="000925B4" w:rsidRPr="00076A4C" w:rsidRDefault="000925B4" w:rsidP="000925B4">
            <w:pPr>
              <w:rPr>
                <w:lang w:val="it-IT"/>
              </w:rPr>
            </w:pPr>
            <w:r w:rsidRPr="00076A4C">
              <w:rPr>
                <w:lang w:val="it-IT"/>
              </w:rPr>
              <w:t> </w:t>
            </w:r>
          </w:p>
          <w:p w14:paraId="36AC22B1" w14:textId="77777777" w:rsidR="000925B4" w:rsidRPr="00076A4C" w:rsidRDefault="000925B4" w:rsidP="000925B4">
            <w:pPr>
              <w:rPr>
                <w:lang w:val="it-IT"/>
              </w:rPr>
            </w:pPr>
            <w:r w:rsidRPr="00076A4C">
              <w:rPr>
                <w:lang w:val="it-IT"/>
              </w:rPr>
              <w:t>Buxheti dhe shpenzimet</w:t>
            </w:r>
          </w:p>
          <w:p w14:paraId="04BBC0BD" w14:textId="77777777" w:rsidR="000925B4" w:rsidRPr="00076A4C" w:rsidRDefault="000925B4" w:rsidP="000925B4">
            <w:pPr>
              <w:rPr>
                <w:lang w:val="it-IT"/>
              </w:rPr>
            </w:pPr>
            <w:r w:rsidRPr="00076A4C">
              <w:rPr>
                <w:lang w:val="it-IT"/>
              </w:rPr>
              <w:t xml:space="preserve">Aktivitetet përkatëse janë mbuluar përmes buxhetit ekzistues të AMI-së, në kuadër të funksioneve të saj të rregullta dhe kryerjes së misionit të institucionit. Shpenzimet lidhen </w:t>
            </w:r>
            <w:r w:rsidRPr="00076A4C">
              <w:rPr>
                <w:lang w:val="it-IT"/>
              </w:rPr>
              <w:lastRenderedPageBreak/>
              <w:t>kryesisht me kapacitete njerëzore që janë pjesëmarrësit në aktivitete ndërkombëtare, trajnime dhe veprimtari ndërgjegjësuese.</w:t>
            </w:r>
          </w:p>
          <w:p w14:paraId="31DDBD5F" w14:textId="77777777" w:rsidR="000925B4" w:rsidRPr="00076A4C" w:rsidRDefault="000925B4" w:rsidP="000925B4">
            <w:pPr>
              <w:rPr>
                <w:lang w:val="it-IT"/>
              </w:rPr>
            </w:pPr>
            <w:r w:rsidRPr="00076A4C">
              <w:rPr>
                <w:lang w:val="it-IT"/>
              </w:rPr>
              <w:t> </w:t>
            </w:r>
          </w:p>
          <w:p w14:paraId="22B6AD85" w14:textId="77777777" w:rsidR="000925B4" w:rsidRPr="00076A4C" w:rsidRDefault="000925B4" w:rsidP="000925B4">
            <w:pPr>
              <w:rPr>
                <w:lang w:val="it-IT"/>
              </w:rPr>
            </w:pPr>
            <w:r w:rsidRPr="00076A4C">
              <w:rPr>
                <w:lang w:val="it-IT"/>
              </w:rPr>
              <w:t>Informimi dhe publikimet</w:t>
            </w:r>
          </w:p>
          <w:p w14:paraId="552B9025" w14:textId="77777777" w:rsidR="000925B4" w:rsidRPr="00076A4C" w:rsidRDefault="000925B4" w:rsidP="000925B4">
            <w:pPr>
              <w:rPr>
                <w:lang w:val="it-IT"/>
              </w:rPr>
            </w:pPr>
            <w:r w:rsidRPr="00076A4C">
              <w:rPr>
                <w:lang w:val="it-IT"/>
              </w:rPr>
              <w:t>AMI kontribuon në mënyrë të vazhdueshme në informimin e publikut përmes:</w:t>
            </w:r>
          </w:p>
          <w:p w14:paraId="0345CA90" w14:textId="77777777" w:rsidR="000925B4" w:rsidRPr="00076A4C" w:rsidRDefault="000925B4" w:rsidP="000925B4">
            <w:pPr>
              <w:rPr>
                <w:lang w:val="it-IT"/>
              </w:rPr>
            </w:pPr>
            <w:r w:rsidRPr="00076A4C">
              <w:rPr>
                <w:lang w:val="it-IT"/>
              </w:rPr>
              <w:t>-komunikimit në kohë reale në rrjetet sociale dhe kanalet zyrtare;</w:t>
            </w:r>
          </w:p>
          <w:p w14:paraId="2778B81A" w14:textId="77777777" w:rsidR="000925B4" w:rsidRPr="00AB6155" w:rsidRDefault="000925B4" w:rsidP="000925B4">
            <w:pPr>
              <w:rPr>
                <w:lang w:val="it-IT"/>
              </w:rPr>
            </w:pPr>
            <w:r w:rsidRPr="00AB6155">
              <w:rPr>
                <w:lang w:val="it-IT"/>
              </w:rPr>
              <w:t>-bashkëpunimit të drejtpërdrejtë me gazetarët dhe median;</w:t>
            </w:r>
          </w:p>
          <w:p w14:paraId="5D3B835B" w14:textId="77777777" w:rsidR="000925B4" w:rsidRPr="00AB6155" w:rsidRDefault="000925B4" w:rsidP="000925B4">
            <w:pPr>
              <w:rPr>
                <w:lang w:val="it-IT"/>
              </w:rPr>
            </w:pPr>
            <w:r w:rsidRPr="00AB6155">
              <w:rPr>
                <w:lang w:val="it-IT"/>
              </w:rPr>
              <w:t>-shpërndarjes së informacionit të verifikuar mbi nisma, vendime, reforma dhe qëndrime të institucioneve qeveritare.</w:t>
            </w:r>
          </w:p>
          <w:p w14:paraId="4F2B1698" w14:textId="77777777" w:rsidR="000925B4" w:rsidRPr="00AB6155" w:rsidRDefault="000925B4" w:rsidP="000925B4">
            <w:pPr>
              <w:rPr>
                <w:lang w:val="it-IT"/>
              </w:rPr>
            </w:pPr>
            <w:r w:rsidRPr="00AB6155">
              <w:rPr>
                <w:lang w:val="it-IT"/>
              </w:rPr>
              <w:t>Informacionet dhe analizat e përftuara nga mekanizmat ndërkombëtarë (NRRG, NATO, EEAS) dhe nga monitorimi i brendshëm u shpërndahen zëdhënësve të AMI-së pranë ministrive përkatëse, së bashku me memo analitike mbi narrativa dezinformuese, përfshirë ato që lidhen me Shqipërinë, Kosovën, NATO-n, SHBA-në dhe BE-në.</w:t>
            </w:r>
          </w:p>
          <w:p w14:paraId="430EAB92" w14:textId="77777777" w:rsidR="000925B4" w:rsidRPr="00AB6155" w:rsidRDefault="000925B4" w:rsidP="000925B4">
            <w:pPr>
              <w:rPr>
                <w:lang w:val="it-IT"/>
              </w:rPr>
            </w:pPr>
            <w:r w:rsidRPr="00AB6155">
              <w:rPr>
                <w:lang w:val="it-IT"/>
              </w:rPr>
              <w:t> </w:t>
            </w:r>
          </w:p>
          <w:p w14:paraId="24D8DE87" w14:textId="77777777" w:rsidR="000925B4" w:rsidRPr="00076A4C" w:rsidRDefault="000925B4" w:rsidP="000925B4">
            <w:pPr>
              <w:rPr>
                <w:lang w:val="it-IT"/>
              </w:rPr>
            </w:pPr>
            <w:r w:rsidRPr="00076A4C">
              <w:rPr>
                <w:lang w:val="it-IT"/>
              </w:rPr>
              <w:t>Ndërtimi i kapaciteteve dhe ndërgjegjësimi publik</w:t>
            </w:r>
          </w:p>
          <w:p w14:paraId="2EDD9665" w14:textId="77777777" w:rsidR="000925B4" w:rsidRPr="00076A4C" w:rsidRDefault="000925B4" w:rsidP="000925B4">
            <w:pPr>
              <w:rPr>
                <w:lang w:val="it-IT"/>
              </w:rPr>
            </w:pPr>
            <w:r w:rsidRPr="00076A4C">
              <w:rPr>
                <w:lang w:val="it-IT"/>
              </w:rPr>
              <w:t>Në vijim të detyrimeve që burojnë edhe nga Kapitulli 31 – Politika e Përbashkët e Jashtme dhe e Sigurisë, Masa nr. 5: Për fuqizimin e mëtejshëm të kapaciteteve njerëzore, AMI do të zhvillojë më tej një plan trajnimesh profesionale me partnerë ndërkombëtarë që veprojnë në këtë fushë si Hybrid Centre of Excellence, OECD Information Lab, apo struktura të tjera homologe në vende rajonale dhe europiane që përballen me FIMI.</w:t>
            </w:r>
          </w:p>
          <w:p w14:paraId="05DF60C2" w14:textId="77777777" w:rsidR="000925B4" w:rsidRPr="00076A4C" w:rsidRDefault="000925B4" w:rsidP="000925B4">
            <w:pPr>
              <w:rPr>
                <w:lang w:val="it-IT"/>
              </w:rPr>
            </w:pPr>
            <w:r w:rsidRPr="00076A4C">
              <w:rPr>
                <w:lang w:val="it-IT"/>
              </w:rPr>
              <w:lastRenderedPageBreak/>
              <w:t>AMI ka intensifikuar përpjekjet për rritjen e kapaciteteve profesionale përmes:</w:t>
            </w:r>
          </w:p>
          <w:p w14:paraId="658FB190" w14:textId="77777777" w:rsidR="000925B4" w:rsidRPr="00076A4C" w:rsidRDefault="000925B4" w:rsidP="000925B4">
            <w:pPr>
              <w:rPr>
                <w:lang w:val="it-IT"/>
              </w:rPr>
            </w:pPr>
            <w:r w:rsidRPr="00076A4C">
              <w:rPr>
                <w:i/>
                <w:iCs/>
                <w:lang w:val="it-IT"/>
              </w:rPr>
              <w:t>-pjesëmarrjes së përfaqësuesve të saj në konferenca dhe aktivitete ndërkombëtare, Konkretisht</w:t>
            </w:r>
            <w:r w:rsidRPr="00076A4C">
              <w:rPr>
                <w:lang w:val="it-IT"/>
              </w:rPr>
              <w:t>: Dy përfaqësues të MIA-s morën pjesë në “Konferencën Analitike mbi kërcënimet nga manipulimi dhe ndërhyrja e huaj në informacion” organizuar nga NATO dhe EEAS, në datat 8-10 shtator në Bruksel.</w:t>
            </w:r>
          </w:p>
          <w:p w14:paraId="549BDF44" w14:textId="77777777" w:rsidR="000925B4" w:rsidRPr="00076A4C" w:rsidRDefault="000925B4" w:rsidP="000925B4">
            <w:pPr>
              <w:rPr>
                <w:lang w:val="it-IT"/>
              </w:rPr>
            </w:pPr>
            <w:r w:rsidRPr="00076A4C">
              <w:rPr>
                <w:i/>
                <w:iCs/>
                <w:lang w:val="it-IT"/>
              </w:rPr>
              <w:t>-angazhimit në forume si Klubi i Venecias (COV).</w:t>
            </w:r>
            <w:r w:rsidRPr="00076A4C">
              <w:rPr>
                <w:lang w:val="it-IT"/>
              </w:rPr>
              <w:t> </w:t>
            </w:r>
            <w:r w:rsidRPr="00076A4C">
              <w:rPr>
                <w:i/>
                <w:iCs/>
                <w:lang w:val="it-IT"/>
              </w:rPr>
              <w:t>Konkretisht:</w:t>
            </w:r>
            <w:r w:rsidRPr="00076A4C">
              <w:rPr>
                <w:lang w:val="it-IT"/>
              </w:rPr>
              <w:t> Në muajin dhjetor Drejtori i Përgjithshëm mori pjesë në mbledhjen plenare të Klubit të Venecias (COV), ku u diskutua rreth komunikimit, roli të digjitalizimit, inteligjenca artificiale dhe përpjekjeve për të luftuar dezinformimin.</w:t>
            </w:r>
          </w:p>
          <w:p w14:paraId="7AD11A80" w14:textId="77777777" w:rsidR="000925B4" w:rsidRPr="00076A4C" w:rsidRDefault="000925B4" w:rsidP="000925B4">
            <w:pPr>
              <w:rPr>
                <w:lang w:val="it-IT"/>
              </w:rPr>
            </w:pPr>
            <w:r w:rsidRPr="00076A4C">
              <w:rPr>
                <w:i/>
                <w:iCs/>
                <w:lang w:val="it-IT"/>
              </w:rPr>
              <w:t>-zhvillimit të fushatave ndërgjegjësuese për të rinjtë, studentët dhe nxënësit, me fokus rritjen e edukimit mediatik dhe aftësive për të identifikuar lajmet e rreme.</w:t>
            </w:r>
            <w:r w:rsidRPr="00076A4C">
              <w:rPr>
                <w:lang w:val="it-IT"/>
              </w:rPr>
              <w:t> Konkretisht: Deri më tani janë zhvilluar takime me studentët e Fakultetit Histori-Filologji dhe përgjatë muajve në vijim do të organizohen takime të tjera me studentët e gazetarisë, nxënësit e shkollave të mesme, si dhe me studentë të arsimit të lartë në universitet publike dhe private.</w:t>
            </w:r>
          </w:p>
          <w:p w14:paraId="42F2A8CB" w14:textId="77777777" w:rsidR="000925B4" w:rsidRPr="00076A4C" w:rsidRDefault="000925B4" w:rsidP="000925B4">
            <w:pPr>
              <w:rPr>
                <w:lang w:val="it-IT"/>
              </w:rPr>
            </w:pPr>
            <w:r w:rsidRPr="00076A4C">
              <w:rPr>
                <w:lang w:val="it-IT"/>
              </w:rPr>
              <w:t>Agjencia për Media dhe Informim vijon të kontribuojë në mënyrë aktive në zbatimin e Strategjisë Kombëtare kundër Ndërhyrjeve të Huaja dhe Dezinformimit 2025–2030, në përputhje me kompetencat e saj ligjore dhe institucionale, duke garantuar transparencë, koordinim dhe informim të bazuar në burime të sigurta dhe të verifikuara.</w:t>
            </w:r>
          </w:p>
          <w:p w14:paraId="3556353D" w14:textId="77777777" w:rsidR="009E34CC" w:rsidRPr="000925B4" w:rsidRDefault="009E34CC" w:rsidP="006C3DB5">
            <w:pPr>
              <w:rPr>
                <w:color w:val="000000" w:themeColor="text1"/>
                <w:lang w:val="it-IT"/>
              </w:rPr>
            </w:pPr>
          </w:p>
          <w:p w14:paraId="47452FA4" w14:textId="77777777" w:rsidR="00A65963" w:rsidRPr="00FF3C4E" w:rsidRDefault="00A65963" w:rsidP="002D3090">
            <w:pP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14:paraId="44416F2F" w14:textId="01EC2FBA" w:rsidR="00A65963" w:rsidRPr="00FF3C4E" w:rsidRDefault="00A65963" w:rsidP="002D3090">
            <w:pPr>
              <w:rPr>
                <w:color w:val="000000" w:themeColor="text1"/>
              </w:rPr>
            </w:pPr>
          </w:p>
        </w:tc>
        <w:tc>
          <w:tcPr>
            <w:tcW w:w="540" w:type="dxa"/>
            <w:tcBorders>
              <w:top w:val="single" w:sz="4" w:space="0" w:color="auto"/>
              <w:left w:val="single" w:sz="4" w:space="0" w:color="auto"/>
              <w:bottom w:val="single" w:sz="4" w:space="0" w:color="auto"/>
              <w:right w:val="single" w:sz="4" w:space="0" w:color="auto"/>
            </w:tcBorders>
          </w:tcPr>
          <w:p w14:paraId="1D53384A" w14:textId="77777777" w:rsidR="00A65963" w:rsidRPr="00FF3C4E" w:rsidRDefault="00A65963" w:rsidP="002D3090">
            <w:pPr>
              <w:rPr>
                <w:color w:val="000000" w:themeColor="text1"/>
              </w:rPr>
            </w:pPr>
            <w:r w:rsidRPr="00FF3C4E">
              <w:rPr>
                <w:color w:val="000000" w:themeColor="text1"/>
              </w:rPr>
              <w:t>0</w:t>
            </w:r>
          </w:p>
          <w:p w14:paraId="1CA33D09" w14:textId="77777777" w:rsidR="009E34CC" w:rsidRPr="00FF3C4E" w:rsidRDefault="009E34CC" w:rsidP="002D3090">
            <w:pPr>
              <w:rPr>
                <w:color w:val="000000" w:themeColor="text1"/>
              </w:rPr>
            </w:pPr>
          </w:p>
          <w:p w14:paraId="3D69470E" w14:textId="77777777" w:rsidR="009E34CC" w:rsidRPr="00FF3C4E" w:rsidRDefault="009E34CC" w:rsidP="002D3090">
            <w:pPr>
              <w:rPr>
                <w:color w:val="000000" w:themeColor="text1"/>
              </w:rPr>
            </w:pPr>
          </w:p>
        </w:tc>
      </w:tr>
    </w:tbl>
    <w:p w14:paraId="132811BD" w14:textId="77777777" w:rsidR="00C1401B" w:rsidRPr="00FF3C4E" w:rsidRDefault="00C1401B">
      <w:pPr>
        <w:rPr>
          <w:color w:val="000000" w:themeColor="text1"/>
        </w:rPr>
      </w:pPr>
    </w:p>
    <w:sectPr w:rsidR="00C1401B" w:rsidRPr="00FF3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BA26" w14:textId="77777777" w:rsidR="003D4E2D" w:rsidRDefault="003D4E2D" w:rsidP="00A65963">
      <w:r>
        <w:separator/>
      </w:r>
    </w:p>
  </w:endnote>
  <w:endnote w:type="continuationSeparator" w:id="0">
    <w:p w14:paraId="1BC3105D" w14:textId="77777777" w:rsidR="003D4E2D" w:rsidRDefault="003D4E2D" w:rsidP="00A6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26ED" w14:textId="77777777" w:rsidR="003D4E2D" w:rsidRDefault="003D4E2D" w:rsidP="00A65963">
      <w:r>
        <w:separator/>
      </w:r>
    </w:p>
  </w:footnote>
  <w:footnote w:type="continuationSeparator" w:id="0">
    <w:p w14:paraId="588EBBD5" w14:textId="77777777" w:rsidR="003D4E2D" w:rsidRDefault="003D4E2D" w:rsidP="00A65963">
      <w:r>
        <w:continuationSeparator/>
      </w:r>
    </w:p>
  </w:footnote>
  <w:footnote w:id="1">
    <w:p w14:paraId="79997FD0"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Numri rendor i k</w:t>
      </w:r>
      <w:r>
        <w:rPr>
          <w:rFonts w:ascii="Times New Roman" w:hAnsi="Times New Roman"/>
        </w:rPr>
        <w:t>ë</w:t>
      </w:r>
      <w:r w:rsidRPr="00DF38D5">
        <w:rPr>
          <w:rFonts w:ascii="Times New Roman" w:hAnsi="Times New Roman"/>
        </w:rPr>
        <w:t>rkesave t</w:t>
      </w:r>
      <w:r>
        <w:rPr>
          <w:rFonts w:ascii="Times New Roman" w:hAnsi="Times New Roman"/>
        </w:rPr>
        <w:t>ë</w:t>
      </w:r>
      <w:r w:rsidRPr="00DF38D5">
        <w:rPr>
          <w:rFonts w:ascii="Times New Roman" w:hAnsi="Times New Roman"/>
        </w:rPr>
        <w:t xml:space="preserve"> regjistruara n</w:t>
      </w:r>
      <w:r>
        <w:rPr>
          <w:rFonts w:ascii="Times New Roman" w:hAnsi="Times New Roman"/>
        </w:rPr>
        <w:t>ë</w:t>
      </w:r>
      <w:r w:rsidRPr="00DF38D5">
        <w:rPr>
          <w:rFonts w:ascii="Times New Roman" w:hAnsi="Times New Roman"/>
        </w:rPr>
        <w:t xml:space="preserve"> </w:t>
      </w:r>
      <w:r>
        <w:rPr>
          <w:rFonts w:ascii="Times New Roman" w:hAnsi="Times New Roman"/>
        </w:rPr>
        <w:t>R</w:t>
      </w:r>
      <w:r w:rsidRPr="00DF38D5">
        <w:rPr>
          <w:rFonts w:ascii="Times New Roman" w:hAnsi="Times New Roman"/>
        </w:rPr>
        <w:t xml:space="preserve">egjistrin e </w:t>
      </w:r>
      <w:r>
        <w:rPr>
          <w:rFonts w:ascii="Times New Roman" w:hAnsi="Times New Roman"/>
        </w:rPr>
        <w:t>Kë</w:t>
      </w:r>
      <w:r w:rsidRPr="00DF38D5">
        <w:rPr>
          <w:rFonts w:ascii="Times New Roman" w:hAnsi="Times New Roman"/>
        </w:rPr>
        <w:t xml:space="preserve">rkesave dhe </w:t>
      </w:r>
      <w:r>
        <w:rPr>
          <w:rFonts w:ascii="Times New Roman" w:hAnsi="Times New Roman"/>
        </w:rPr>
        <w:t>Pë</w:t>
      </w:r>
      <w:r w:rsidRPr="00DF38D5">
        <w:rPr>
          <w:rFonts w:ascii="Times New Roman" w:hAnsi="Times New Roman"/>
        </w:rPr>
        <w:t>rgjigjeve</w:t>
      </w:r>
    </w:p>
  </w:footnote>
  <w:footnote w:id="2">
    <w:p w14:paraId="10C94D45"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r w:rsidRPr="00DF38D5">
        <w:rPr>
          <w:rFonts w:ascii="Times New Roman" w:hAnsi="Times New Roman"/>
          <w:bCs/>
        </w:rPr>
        <w:t>Data e regjistrimit të kërkesës</w:t>
      </w:r>
    </w:p>
  </w:footnote>
  <w:footnote w:id="3">
    <w:p w14:paraId="15A6098A"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r w:rsidRPr="00DF38D5">
        <w:rPr>
          <w:rFonts w:ascii="Times New Roman" w:hAnsi="Times New Roman"/>
          <w:bCs/>
        </w:rPr>
        <w:t xml:space="preserve">Përmbledhje e objektit të kërkesës duke </w:t>
      </w:r>
      <w:r>
        <w:rPr>
          <w:rFonts w:ascii="Times New Roman" w:hAnsi="Times New Roman"/>
          <w:bCs/>
        </w:rPr>
        <w:t xml:space="preserve">u </w:t>
      </w:r>
      <w:r w:rsidRPr="00DF38D5">
        <w:rPr>
          <w:rFonts w:ascii="Times New Roman" w:hAnsi="Times New Roman"/>
          <w:bCs/>
        </w:rPr>
        <w:t xml:space="preserve">anonimizuar </w:t>
      </w:r>
      <w:r>
        <w:rPr>
          <w:rFonts w:ascii="Times New Roman" w:hAnsi="Times New Roman"/>
          <w:bCs/>
        </w:rPr>
        <w:t>sipas parashikimeve ligjore në fuqi</w:t>
      </w:r>
    </w:p>
  </w:footnote>
  <w:footnote w:id="4">
    <w:p w14:paraId="1DC8B2D3"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r w:rsidRPr="00DF38D5">
        <w:rPr>
          <w:rFonts w:ascii="Times New Roman" w:hAnsi="Times New Roman"/>
          <w:bCs/>
        </w:rPr>
        <w:t>Data e kthimit të përgjigjes</w:t>
      </w:r>
    </w:p>
  </w:footnote>
  <w:footnote w:id="5">
    <w:p w14:paraId="37810B44" w14:textId="77777777" w:rsidR="00A65963" w:rsidRPr="00DF38D5" w:rsidRDefault="00A65963" w:rsidP="00A65963">
      <w:pPr>
        <w:pStyle w:val="FootnoteText"/>
        <w:rPr>
          <w:rFonts w:ascii="Times New Roman" w:hAnsi="Times New Roman"/>
        </w:rPr>
      </w:pPr>
      <w:r w:rsidRPr="00DF38D5">
        <w:rPr>
          <w:rStyle w:val="FootnoteReference"/>
          <w:rFonts w:ascii="Times New Roman" w:hAnsi="Times New Roman"/>
        </w:rPr>
        <w:footnoteRef/>
      </w:r>
      <w:r w:rsidRPr="00DF38D5">
        <w:rPr>
          <w:rFonts w:ascii="Times New Roman" w:hAnsi="Times New Roman"/>
        </w:rPr>
        <w:t xml:space="preserve"> </w:t>
      </w:r>
      <w:r>
        <w:rPr>
          <w:rFonts w:ascii="Times New Roman" w:hAnsi="Times New Roman"/>
        </w:rPr>
        <w:t xml:space="preserve">Përmbajtja e </w:t>
      </w:r>
      <w:r>
        <w:rPr>
          <w:rFonts w:ascii="Times New Roman" w:hAnsi="Times New Roman"/>
          <w:bCs/>
        </w:rPr>
        <w:t>pë</w:t>
      </w:r>
      <w:r w:rsidRPr="00DF38D5">
        <w:rPr>
          <w:rFonts w:ascii="Times New Roman" w:hAnsi="Times New Roman"/>
          <w:bCs/>
        </w:rPr>
        <w:t>rgjigj</w:t>
      </w:r>
      <w:r>
        <w:rPr>
          <w:rFonts w:ascii="Times New Roman" w:hAnsi="Times New Roman"/>
          <w:bCs/>
        </w:rPr>
        <w:t>es duke</w:t>
      </w:r>
      <w:r w:rsidRPr="00DF38D5">
        <w:rPr>
          <w:rFonts w:ascii="Times New Roman" w:hAnsi="Times New Roman"/>
          <w:bCs/>
        </w:rPr>
        <w:t xml:space="preserve"> </w:t>
      </w:r>
      <w:r>
        <w:rPr>
          <w:rFonts w:ascii="Times New Roman" w:hAnsi="Times New Roman"/>
          <w:bCs/>
        </w:rPr>
        <w:t xml:space="preserve">u </w:t>
      </w:r>
      <w:r w:rsidRPr="00DF38D5">
        <w:rPr>
          <w:rFonts w:ascii="Times New Roman" w:hAnsi="Times New Roman"/>
          <w:bCs/>
        </w:rPr>
        <w:t xml:space="preserve">anonimizuar </w:t>
      </w:r>
      <w:r>
        <w:rPr>
          <w:rFonts w:ascii="Times New Roman" w:hAnsi="Times New Roman"/>
          <w:bCs/>
        </w:rPr>
        <w:t>sipas parashikimeve ligjore në fuqi</w:t>
      </w:r>
    </w:p>
  </w:footnote>
  <w:footnote w:id="6">
    <w:p w14:paraId="6C99F589" w14:textId="77777777" w:rsidR="00A65963" w:rsidRPr="007771E2" w:rsidRDefault="00A65963" w:rsidP="00A65963">
      <w:pPr>
        <w:pStyle w:val="FootnoteText"/>
        <w:rPr>
          <w:rFonts w:ascii="Times New Roman" w:hAnsi="Times New Roman"/>
        </w:rPr>
      </w:pPr>
      <w:r w:rsidRPr="00DF38D5">
        <w:rPr>
          <w:rStyle w:val="FootnoteReference"/>
          <w:rFonts w:ascii="Times New Roman" w:hAnsi="Times New Roman"/>
        </w:rPr>
        <w:footnoteRef/>
      </w:r>
      <w:r w:rsidRPr="007771E2">
        <w:rPr>
          <w:rFonts w:ascii="Times New Roman" w:hAnsi="Times New Roman"/>
        </w:rPr>
        <w:t xml:space="preserve"> Përgjigja jepet E plotë/ E kufizuar/ E refuzuar/E deleguar</w:t>
      </w:r>
    </w:p>
  </w:footnote>
  <w:footnote w:id="7">
    <w:p w14:paraId="696D6DB2" w14:textId="77777777" w:rsidR="00A65963" w:rsidRPr="007771E2" w:rsidRDefault="00A65963" w:rsidP="00A65963">
      <w:pPr>
        <w:pStyle w:val="FootnoteText"/>
      </w:pPr>
      <w:r w:rsidRPr="00DF38D5">
        <w:rPr>
          <w:rStyle w:val="FootnoteReference"/>
          <w:rFonts w:ascii="Times New Roman" w:hAnsi="Times New Roman"/>
        </w:rPr>
        <w:footnoteRef/>
      </w:r>
      <w:r w:rsidRPr="007771E2">
        <w:rPr>
          <w:rFonts w:ascii="Times New Roman" w:hAnsi="Times New Roman"/>
        </w:rPr>
        <w:t xml:space="preserve"> Kosto monetare e riprodhimit (kur është rasti dhe e dërgimit) t</w:t>
      </w:r>
      <w:r w:rsidRPr="007771E2">
        <w:rPr>
          <w:rFonts w:ascii="Times New Roman" w:eastAsia="MingLiU-ExtB" w:hAnsi="Times New Roman"/>
        </w:rPr>
        <w:t xml:space="preserve">ë </w:t>
      </w:r>
      <w:r w:rsidRPr="007771E2">
        <w:rPr>
          <w:rFonts w:ascii="Times New Roman" w:hAnsi="Times New Roman"/>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6C"/>
    <w:multiLevelType w:val="multilevel"/>
    <w:tmpl w:val="BFB4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466DC"/>
    <w:multiLevelType w:val="multilevel"/>
    <w:tmpl w:val="C4C42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85151"/>
    <w:multiLevelType w:val="multilevel"/>
    <w:tmpl w:val="8AEC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129896">
    <w:abstractNumId w:val="2"/>
  </w:num>
  <w:num w:numId="2" w16cid:durableId="1413551704">
    <w:abstractNumId w:val="0"/>
  </w:num>
  <w:num w:numId="3" w16cid:durableId="110396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63"/>
    <w:rsid w:val="00007C0A"/>
    <w:rsid w:val="0004157C"/>
    <w:rsid w:val="00067643"/>
    <w:rsid w:val="0007591A"/>
    <w:rsid w:val="00081DF3"/>
    <w:rsid w:val="00085743"/>
    <w:rsid w:val="000925B4"/>
    <w:rsid w:val="00094E53"/>
    <w:rsid w:val="00101E54"/>
    <w:rsid w:val="00152D68"/>
    <w:rsid w:val="001B12B5"/>
    <w:rsid w:val="001B6B8A"/>
    <w:rsid w:val="001C1AF2"/>
    <w:rsid w:val="001E0349"/>
    <w:rsid w:val="00272A2F"/>
    <w:rsid w:val="00275587"/>
    <w:rsid w:val="00283643"/>
    <w:rsid w:val="002B2790"/>
    <w:rsid w:val="002C63C8"/>
    <w:rsid w:val="002E01E0"/>
    <w:rsid w:val="00330D22"/>
    <w:rsid w:val="00334CD6"/>
    <w:rsid w:val="003A26A9"/>
    <w:rsid w:val="003B734F"/>
    <w:rsid w:val="003D4E2D"/>
    <w:rsid w:val="004515F3"/>
    <w:rsid w:val="00453664"/>
    <w:rsid w:val="00463D0E"/>
    <w:rsid w:val="00485EED"/>
    <w:rsid w:val="00487CE0"/>
    <w:rsid w:val="004A115C"/>
    <w:rsid w:val="005323FE"/>
    <w:rsid w:val="0053633A"/>
    <w:rsid w:val="0054577D"/>
    <w:rsid w:val="005B7922"/>
    <w:rsid w:val="0062728C"/>
    <w:rsid w:val="006443C3"/>
    <w:rsid w:val="0065446E"/>
    <w:rsid w:val="006752C6"/>
    <w:rsid w:val="00677502"/>
    <w:rsid w:val="006854B0"/>
    <w:rsid w:val="006856BA"/>
    <w:rsid w:val="006B10F6"/>
    <w:rsid w:val="006B1807"/>
    <w:rsid w:val="006C3DB5"/>
    <w:rsid w:val="00715C31"/>
    <w:rsid w:val="007771E2"/>
    <w:rsid w:val="0078055F"/>
    <w:rsid w:val="007E27F1"/>
    <w:rsid w:val="007F2771"/>
    <w:rsid w:val="008229FC"/>
    <w:rsid w:val="008765F3"/>
    <w:rsid w:val="008849DC"/>
    <w:rsid w:val="008B0244"/>
    <w:rsid w:val="008C12E0"/>
    <w:rsid w:val="008E6609"/>
    <w:rsid w:val="00910885"/>
    <w:rsid w:val="00922957"/>
    <w:rsid w:val="00980AB1"/>
    <w:rsid w:val="009B6E7C"/>
    <w:rsid w:val="009E34CC"/>
    <w:rsid w:val="009F371C"/>
    <w:rsid w:val="00A003E7"/>
    <w:rsid w:val="00A3767B"/>
    <w:rsid w:val="00A46111"/>
    <w:rsid w:val="00A65963"/>
    <w:rsid w:val="00A724EA"/>
    <w:rsid w:val="00A8339D"/>
    <w:rsid w:val="00B20984"/>
    <w:rsid w:val="00B81262"/>
    <w:rsid w:val="00B96AF7"/>
    <w:rsid w:val="00BD0EEA"/>
    <w:rsid w:val="00C1401B"/>
    <w:rsid w:val="00C1787F"/>
    <w:rsid w:val="00C434A4"/>
    <w:rsid w:val="00C5548A"/>
    <w:rsid w:val="00C5648C"/>
    <w:rsid w:val="00CE09D8"/>
    <w:rsid w:val="00CF7B59"/>
    <w:rsid w:val="00D355E0"/>
    <w:rsid w:val="00D44B36"/>
    <w:rsid w:val="00D54178"/>
    <w:rsid w:val="00D7318B"/>
    <w:rsid w:val="00D831B2"/>
    <w:rsid w:val="00DA28EB"/>
    <w:rsid w:val="00DB48B0"/>
    <w:rsid w:val="00DB6279"/>
    <w:rsid w:val="00DC47F9"/>
    <w:rsid w:val="00DE3096"/>
    <w:rsid w:val="00E3099C"/>
    <w:rsid w:val="00E3299C"/>
    <w:rsid w:val="00E477F9"/>
    <w:rsid w:val="00E6490B"/>
    <w:rsid w:val="00E81F52"/>
    <w:rsid w:val="00E83FA8"/>
    <w:rsid w:val="00E942B3"/>
    <w:rsid w:val="00F022F1"/>
    <w:rsid w:val="00F305B9"/>
    <w:rsid w:val="00F51FF2"/>
    <w:rsid w:val="00F73107"/>
    <w:rsid w:val="00FA0E10"/>
    <w:rsid w:val="00FD571A"/>
    <w:rsid w:val="00FE4DD5"/>
    <w:rsid w:val="00FF1C8E"/>
    <w:rsid w:val="00FF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D08C"/>
  <w15:chartTrackingRefBased/>
  <w15:docId w15:val="{517D7680-8EC5-4AEC-858F-86CAA165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63"/>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5963"/>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A65963"/>
    <w:rPr>
      <w:rFonts w:ascii="Calibri" w:eastAsia="Calibri" w:hAnsi="Calibri" w:cs="Times New Roman"/>
      <w:sz w:val="20"/>
      <w:szCs w:val="20"/>
    </w:rPr>
  </w:style>
  <w:style w:type="character" w:styleId="FootnoteReference">
    <w:name w:val="footnote reference"/>
    <w:uiPriority w:val="99"/>
    <w:semiHidden/>
    <w:unhideWhenUsed/>
    <w:rsid w:val="00A65963"/>
    <w:rPr>
      <w:vertAlign w:val="superscript"/>
    </w:rPr>
  </w:style>
  <w:style w:type="paragraph" w:styleId="NormalWeb">
    <w:name w:val="Normal (Web)"/>
    <w:basedOn w:val="Normal"/>
    <w:uiPriority w:val="99"/>
    <w:unhideWhenUsed/>
    <w:rsid w:val="00A65963"/>
    <w:pPr>
      <w:spacing w:before="100" w:beforeAutospacing="1" w:after="100" w:afterAutospacing="1"/>
    </w:pPr>
  </w:style>
  <w:style w:type="character" w:customStyle="1" w:styleId="xs1">
    <w:name w:val="x_s1"/>
    <w:basedOn w:val="DefaultParagraphFont"/>
    <w:rsid w:val="00C5548A"/>
  </w:style>
  <w:style w:type="character" w:styleId="Hyperlink">
    <w:name w:val="Hyperlink"/>
    <w:basedOn w:val="DefaultParagraphFont"/>
    <w:unhideWhenUsed/>
    <w:rsid w:val="00C5548A"/>
    <w:rPr>
      <w:color w:val="0000FF"/>
      <w:u w:val="single"/>
    </w:rPr>
  </w:style>
  <w:style w:type="paragraph" w:customStyle="1" w:styleId="xp1">
    <w:name w:val="x_p1"/>
    <w:basedOn w:val="Normal"/>
    <w:rsid w:val="00E3099C"/>
    <w:pPr>
      <w:spacing w:before="100" w:beforeAutospacing="1" w:after="100" w:afterAutospacing="1"/>
    </w:pPr>
  </w:style>
  <w:style w:type="character" w:customStyle="1" w:styleId="xapple-converted-space">
    <w:name w:val="x_apple-converted-space"/>
    <w:basedOn w:val="DefaultParagraphFont"/>
    <w:rsid w:val="00E3099C"/>
  </w:style>
  <w:style w:type="paragraph" w:customStyle="1" w:styleId="xp2">
    <w:name w:val="x_p2"/>
    <w:basedOn w:val="Normal"/>
    <w:rsid w:val="00E309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749">
      <w:bodyDiv w:val="1"/>
      <w:marLeft w:val="0"/>
      <w:marRight w:val="0"/>
      <w:marTop w:val="0"/>
      <w:marBottom w:val="0"/>
      <w:divBdr>
        <w:top w:val="none" w:sz="0" w:space="0" w:color="auto"/>
        <w:left w:val="none" w:sz="0" w:space="0" w:color="auto"/>
        <w:bottom w:val="none" w:sz="0" w:space="0" w:color="auto"/>
        <w:right w:val="none" w:sz="0" w:space="0" w:color="auto"/>
      </w:divBdr>
    </w:div>
    <w:div w:id="153223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Joana Spaho</cp:lastModifiedBy>
  <cp:revision>9</cp:revision>
  <dcterms:created xsi:type="dcterms:W3CDTF">2025-07-03T10:05:00Z</dcterms:created>
  <dcterms:modified xsi:type="dcterms:W3CDTF">2026-04-07T08:34:00Z</dcterms:modified>
</cp:coreProperties>
</file>